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青年教师助讲培养内容及学时计算参考表（第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阶段）</w:t>
      </w:r>
    </w:p>
    <w:tbl>
      <w:tblPr>
        <w:tblStyle w:val="2"/>
        <w:tblW w:w="0" w:type="auto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2103"/>
        <w:gridCol w:w="3681"/>
        <w:gridCol w:w="218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4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科研为主型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培养类别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培养项目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考核材料及要求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学时计算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取得讲师及以上专业技术资格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10学时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申请校级及以上科研课题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课题立项通知书复印件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要求：本人为课题负责人；以成都中医药大学为署名单位；申报书须附有导师修改意见。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校级课题每项计5学时，厅局级每项计10学时，部省级课题每项计20学时，国家级课题每项计40学时，最高计50学时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24-120学时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发表论文（不含增刊）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论文录用证明、期刊复印件、检索报告等。要求：以成都中医药大学为第一署名单位、本人为第一作者或通讯作者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一般期刊每篇计5学时，核心期刊（北大，南大）每篇计10学时，SCI、SSCI论文每篇计20学时，最高计40学时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参与导师或学术团队课题研究 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课题立项通知书复印件。要求：厅局级（前3）、部省级课题（前5）、国家级课题（前7）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每项计5学时，最高计20学时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参加校级及以上学术交流活动、学术讲座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会议记录、发言稿、论文集等。要求：每次活动至少有2项证明材料。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每次计2学时，最高计10学时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申请校级及以上教改课题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课题立项通知书复印件。要求：本人为课题负责人；以成都中医药大学为署名单位；申报书须附有导师修改意见。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校级课题每项计5学时，厅局级每项计10学时，部省级课题每项计20学时，国家级课题每项计40学时，最高计50学时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18-120学时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担任编委参编教材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教材复印件。要求：规划、统编、协编教材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2万字以上每门计5学时，5万字以上每门计10学时，最高计20学时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参加各类教学竞赛并获得奖项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院级计5学时，校级计10学时，省级计20学时，国家级计30学时，最高计40学时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听观摩课、参加教学发展论坛、教学沙龙、教学讲座等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听课笔记、签到、学分证等。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要求：须为院级及以上举办的公开活动；每次活动至少有2项证明材料。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院级每次计1学时，校级每次计2学时，最高计10学时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进修培训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到省内外重点高校和科研院所进行学科相关的进修学习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进修单位接收函、结业证书复印件。要求：除本校外的原“985”、“211”高校，世界一流大学建设高校，或进修学科为世界一流建设学科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1个月内计2学时，1-3个月计3学时，3个月以上计4学时，最高计15学时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2-15学时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自主学习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网络课程培训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每门课计2学时，最高计10学时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有助于教学科研成长的各类活动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读书报告、活动记录等。要求：每项材料字数不少于2000字。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每次计1学时，最高计5学时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084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ind w:right="601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临床为主型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  <w:t>培养类别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  <w:t>培养项目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  <w:t>考核材料及要求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  <w:t>学时计算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取得讲师及以上专业技术资格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资格证书复印件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10学时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跟师临床实践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病案笔记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24"/>
              </w:rPr>
              <w:t>要求：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以天为单位记录，每篇笔记不少于1000字；须导师签字。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0.2学时/次，每学年不少于8学时，最高计12学时/学年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-44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个人临床实践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门诊记录、病案、挂号单等复印件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24"/>
              </w:rPr>
              <w:t>要求：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以半天为单位记录；每次实践至少有2项证明材料。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每次计0.2学时，每学年不少于8学时，最高计12学时/学年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临床病案总结分析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病案分析报告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24"/>
              </w:rPr>
              <w:t>要求：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2000字以上；每篇报告后须有导师评语。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5学时/篇，不少于10学时，最高计20学时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申请校级及以上课题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课题立项通知书复印件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要求：本人课题为负责人；以成都中医药大学为署名单位；申报书须附有导师修改意见。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校级课题每项计5学时，厅局级每项计10学时，部省级课题每项计20学时，国家级课题每项计40学时，不少于5学时，最高计50学时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22-100学时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发表论文（不含增刊）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论文录用证明、期刊复印件、检索报告等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要求：以成都中医药大学为第一署名单位、本人为第一作者或通讯作者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一般期刊计5学时/篇，卫生A级或核心期刊计10学时/篇，不少于10学时，最多计20学时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 xml:space="preserve">参与导师或学术团队课题研究 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课题立项通知书复印件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要求：厅局级（前3）、部省级课题（前5）、国家级课题（前7）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每项计5学时，最高计20学时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参加校级及以上学术交流活动、学术讲座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会议记录、发言稿、论文集等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要求：每次活动至少有2项证明材料。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每次计2学时，最高计10学时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担任编委参编教材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教材复印件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要求：规划、统编、协编教材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2万字以上每门计5学时，5万字以上每门计10学时，最高合计20学时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11-70学时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参加各类教学竞赛并获得奖项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荣誉证书复印件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院级计5学时，校级计10学时，省级计20学时，国家级计30学时，最高计40学时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听观摩课、参加教学发展论坛、教学沙龙、教学讲座等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听课笔记、签到、学分证等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要求：须为院级及以上举办的公开活动；每次活动至少有2项证明材料。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每次计1学时，最高合计10学时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进修培训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到省内外重点高校和科研院所进行学科相关的进修学习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进修单位接收函、结业证书复印件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要求：除本校外的原“985”、“211”高校，世界一流大学建设高校，或进修学科为世界一流建设学科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1个月内计2学时，1-3个月计3学时，3个月以上计4学时，最高合计10学时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2-10学时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自主学习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网络课程培训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培训证书复印件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每门课计2学时，最高合计10学时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3-15学时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40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有助于教学及临床成长的各类活动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读书报告、活动记录等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要求：每项材料字数不少于1000字。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每次计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学时，最高合计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exact"/>
        <w:ind w:firstLine="0" w:firstLineChars="0"/>
        <w:jc w:val="center"/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</w:rPr>
      </w:pPr>
    </w:p>
    <w:p>
      <w:pPr>
        <w:widowControl/>
        <w:spacing w:line="240" w:lineRule="exact"/>
        <w:ind w:firstLine="0" w:firstLineChars="0"/>
        <w:jc w:val="center"/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</w:rPr>
      </w:pPr>
    </w:p>
    <w:p>
      <w:pPr>
        <w:widowControl/>
        <w:spacing w:line="240" w:lineRule="exact"/>
        <w:ind w:firstLine="0" w:firstLineChars="0"/>
        <w:jc w:val="center"/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</w:rPr>
        <w:sectPr>
          <w:pgSz w:w="11906" w:h="16838"/>
          <w:pgMar w:top="2098" w:right="1474" w:bottom="1928" w:left="1587" w:header="851" w:footer="133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2E37"/>
    <w:rsid w:val="53D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2021-05-07T01:11:00Z</dcterms:created>
  <dc:creator>狗狗</dc:creator>
  <cp:lastModifiedBy>狗狗</cp:lastModifiedBy>
  <dcterms:modified xsi:type="dcterms:W3CDTF">2021-05-07T01:11:56Z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5AC051487B154AF39C46D2F0F8BDDC7F</vt:lpwstr>
  </property>
  <property fmtid="{D5CDD505-2E9C-101B-9397-08002B2CF9AE}" pid="4" name="KSOSaveFontToCloudKey">
    <vt:lpwstr>237538938_btnclosed</vt:lpwstr>
  </property>
</Properties>
</file>