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黑体简体" w:cs="方正小标宋简体"/>
          <w:kern w:val="32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附件1</w:t>
      </w: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方正小标宋简体" w:hAnsi="方正小标宋简体" w:eastAsia="方正小标宋简体" w:cs="方正小标宋简体"/>
          <w:kern w:val="3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36"/>
          <w:szCs w:val="36"/>
        </w:rPr>
        <w:t>高校青年教师教学竞赛简介</w:t>
      </w:r>
    </w:p>
    <w:p>
      <w:pPr>
        <w:numPr>
          <w:ilvl w:val="0"/>
          <w:numId w:val="1"/>
        </w:num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基本情况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主办单位：全国总工会、教育部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周期：两年举办一次（偶数年）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赛制：校赛、省赛、国赛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竞赛分组：文科、理科、工科、医科、思想政治课专项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比赛时间：省赛一般为当年5月。</w:t>
      </w:r>
    </w:p>
    <w:p>
      <w:pPr>
        <w:numPr>
          <w:ilvl w:val="0"/>
          <w:numId w:val="1"/>
        </w:num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竞赛内容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竞赛内容包括教学设计、课堂教学和教学反思三部分。</w:t>
      </w:r>
    </w:p>
    <w:p>
      <w:pPr>
        <w:ind w:firstLine="643" w:firstLineChars="200"/>
        <w:rPr>
          <w:rFonts w:ascii="Times New Roman" w:hAnsi="Times New Roman" w:eastAsia="仿宋" w:cs="Times New Roman"/>
          <w:b/>
          <w:bCs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b/>
          <w:bCs/>
          <w:kern w:val="32"/>
          <w:sz w:val="32"/>
          <w:szCs w:val="40"/>
        </w:rPr>
        <w:t>四川省初赛（网络评审）参赛教师需提交材料及要求如下：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（1）教学大纲。教学大纲主要包含课程名称、基本信</w:t>
      </w: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息（课程性质、教学时数、学分、学生对象）、课程简介、课程目标、课程内容与教学安排、课程评价、建议阅读文</w:t>
      </w: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献等要素。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（2）教学设计。15 个学时的教学设计。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（3）课堂教学节段 PPT。与 15 个学时教学设计相对</w:t>
      </w: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应的 15 个课堂教学节段的 PPT，课堂教学节段时长为 20</w:t>
      </w: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分钟。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（4）课堂教学视频与教学反思。选手从15个学时中</w:t>
      </w:r>
    </w:p>
    <w:p>
      <w:pPr>
        <w:rPr>
          <w:rFonts w:hint="eastAsia" w:ascii="Times New Roman" w:hAnsi="Times New Roman" w:eastAsia="仿宋" w:cs="Times New Roman"/>
          <w:kern w:val="32"/>
          <w:sz w:val="32"/>
          <w:szCs w:val="40"/>
        </w:rPr>
      </w:pP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选取一个学时录制 20 分钟教学视频，课堂教学采取“无生</w:t>
      </w:r>
    </w:p>
    <w:p>
      <w:pPr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上课”的形式。</w:t>
      </w:r>
    </w:p>
    <w:p>
      <w:pPr>
        <w:ind w:firstLine="643" w:firstLineChars="200"/>
        <w:rPr>
          <w:rFonts w:ascii="Times New Roman" w:hAnsi="Times New Roman" w:eastAsia="仿宋" w:cs="Times New Roman"/>
          <w:b/>
          <w:bCs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b/>
          <w:bCs/>
          <w:kern w:val="32"/>
          <w:sz w:val="32"/>
          <w:szCs w:val="40"/>
        </w:rPr>
        <w:t>四川省决赛内容：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1.网上提交材料：教学大纲、15 个学时教学设计、15 个学时教学 PPT，决赛提交的材料不要求与初赛完全一致，允许进行更新。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2.现场教学展示及教学反思。参赛教师从15个教学节段中抽取一个进行20分钟的现场教学展示，并结合教学展示从教学理念、教学方法和教学过程等方面现场撰写教学反思。</w:t>
      </w:r>
    </w:p>
    <w:p>
      <w:pPr>
        <w:numPr>
          <w:ilvl w:val="0"/>
          <w:numId w:val="1"/>
        </w:numPr>
        <w:ind w:firstLine="640" w:firstLineChars="200"/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kern w:val="32"/>
          <w:sz w:val="32"/>
          <w:szCs w:val="40"/>
        </w:rPr>
        <w:t>奖项设置</w:t>
      </w:r>
    </w:p>
    <w:p>
      <w:pPr>
        <w:ind w:firstLine="640" w:firstLineChars="200"/>
        <w:rPr>
          <w:rFonts w:ascii="Times New Roman" w:hAnsi="Times New Roman" w:eastAsia="仿宋" w:cs="Times New Roman"/>
          <w:kern w:val="32"/>
          <w:sz w:val="32"/>
          <w:szCs w:val="40"/>
        </w:rPr>
      </w:pP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四川省省赛医科、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文科、理科、工科和思想政治课专项各评出一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、二、三等奖和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优秀奖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若干名</w:t>
      </w:r>
      <w:r>
        <w:rPr>
          <w:rFonts w:ascii="Times New Roman" w:hAnsi="Times New Roman" w:eastAsia="仿宋" w:cs="Times New Roman"/>
          <w:kern w:val="32"/>
          <w:sz w:val="32"/>
          <w:szCs w:val="40"/>
        </w:rPr>
        <w:t>。各组别获得第一名的选手，符合条件的将按程序申报四川省“五一劳动奖章”，并代表四川参加全国青年教师教学竞赛</w:t>
      </w:r>
      <w:r>
        <w:rPr>
          <w:rFonts w:hint="eastAsia" w:ascii="Times New Roman" w:hAnsi="Times New Roman" w:eastAsia="仿宋" w:cs="Times New Roman"/>
          <w:kern w:val="32"/>
          <w:sz w:val="32"/>
          <w:szCs w:val="40"/>
        </w:rPr>
        <w:t>。</w:t>
      </w: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</w:p>
    <w:p>
      <w:pPr>
        <w:rPr>
          <w:rFonts w:ascii="方正黑体简体" w:hAnsi="方正黑体简体" w:eastAsia="方正黑体简体" w:cs="方正黑体简体"/>
          <w:kern w:val="32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5558"/>
    <w:multiLevelType w:val="singleLevel"/>
    <w:tmpl w:val="89235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3D3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2023-06-30T06:08:17Z</dcterms:created>
  <dc:creator>pc</dc:creator>
  <cp:lastModifiedBy>反光</cp:lastModifiedBy>
  <dcterms:modified xsi:type="dcterms:W3CDTF">2023-06-30T06:08:27Z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B425C1AD23144543A445B5D95674DA7E_12</vt:lpwstr>
  </property>
</Properties>
</file>