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方正小标宋简体" w:hAnsi="方正小标宋简体" w:eastAsia="方正小标宋简体" w:cs="方正小标宋简体"/>
          <w:b/>
          <w:sz w:val="40"/>
          <w:szCs w:val="40"/>
        </w:rPr>
      </w:pPr>
      <w:r>
        <w:rPr>
          <w:rFonts w:hint="eastAsia" w:ascii="方正小标宋简体" w:hAnsi="方正小标宋简体" w:eastAsia="方正小标宋简体" w:cs="方正小标宋简体"/>
          <w:b/>
          <w:sz w:val="40"/>
          <w:szCs w:val="40"/>
          <w:lang w:eastAsia="zh-CN"/>
        </w:rPr>
        <w:t>成都中医药大学</w:t>
      </w:r>
      <w:r>
        <w:rPr>
          <w:rFonts w:hint="eastAsia" w:ascii="方正小标宋简体" w:hAnsi="方正小标宋简体" w:eastAsia="方正小标宋简体" w:cs="方正小标宋简体"/>
          <w:b/>
          <w:sz w:val="40"/>
          <w:szCs w:val="40"/>
        </w:rPr>
        <w:t>管理学院</w:t>
      </w:r>
    </w:p>
    <w:p>
      <w:pPr>
        <w:spacing w:line="580" w:lineRule="exact"/>
        <w:jc w:val="center"/>
        <w:rPr>
          <w:rFonts w:ascii="方正小标宋简体" w:hAnsi="方正小标宋简体" w:eastAsia="方正小标宋简体" w:cs="方正小标宋简体"/>
          <w:b/>
          <w:sz w:val="40"/>
          <w:szCs w:val="40"/>
        </w:rPr>
      </w:pPr>
      <w:bookmarkStart w:id="0" w:name="_GoBack"/>
      <w:bookmarkEnd w:id="0"/>
      <w:r>
        <w:rPr>
          <w:rFonts w:hint="eastAsia" w:ascii="方正小标宋简体" w:hAnsi="方正小标宋简体" w:eastAsia="方正小标宋简体" w:cs="方正小标宋简体"/>
          <w:b/>
          <w:sz w:val="40"/>
          <w:szCs w:val="40"/>
        </w:rPr>
        <w:t>硕士研究生学位论文答辩实施细则</w:t>
      </w:r>
    </w:p>
    <w:p>
      <w:pPr>
        <w:spacing w:line="580" w:lineRule="exact"/>
        <w:jc w:val="center"/>
        <w:rPr>
          <w:rFonts w:ascii="方正小标宋简体" w:hAnsi="方正小标宋简体" w:eastAsia="方正小标宋简体" w:cs="方正小标宋简体"/>
          <w:b/>
          <w:sz w:val="40"/>
          <w:szCs w:val="40"/>
        </w:rPr>
      </w:pP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为加强对硕士研究生学位论文答辩环节的管理，根据《成都中医药大学研究生学术学位授予工作实施细则》（</w:t>
      </w:r>
      <w:r>
        <w:rPr>
          <w:rFonts w:hint="default" w:ascii="Times New Roman" w:hAnsi="Times New Roman" w:eastAsia="方正仿宋简体" w:cs="Times New Roman"/>
          <w:bCs/>
          <w:color w:val="000000"/>
          <w:kern w:val="0"/>
          <w:sz w:val="32"/>
          <w:szCs w:val="32"/>
        </w:rPr>
        <w:t>2014</w:t>
      </w:r>
      <w:r>
        <w:rPr>
          <w:rFonts w:hint="eastAsia" w:ascii="方正仿宋简体" w:hAnsi="方正仿宋简体" w:eastAsia="方正仿宋简体" w:cs="方正仿宋简体"/>
          <w:bCs/>
          <w:color w:val="000000"/>
          <w:kern w:val="0"/>
          <w:sz w:val="32"/>
          <w:szCs w:val="32"/>
        </w:rPr>
        <w:t>版）《关于加强我校研究生学位工作的意见暨研究生学位论文抽检通讯评议结果的处理办法》（学位函字〔</w:t>
      </w:r>
      <w:r>
        <w:rPr>
          <w:rFonts w:hint="default" w:ascii="Times New Roman" w:hAnsi="Times New Roman" w:eastAsia="方正仿宋简体" w:cs="Times New Roman"/>
          <w:bCs/>
          <w:color w:val="000000"/>
          <w:kern w:val="0"/>
          <w:sz w:val="32"/>
          <w:szCs w:val="32"/>
        </w:rPr>
        <w:t>2016</w:t>
      </w:r>
      <w:r>
        <w:rPr>
          <w:rFonts w:hint="eastAsia" w:ascii="方正仿宋简体" w:hAnsi="方正仿宋简体" w:eastAsia="方正仿宋简体" w:cs="方正仿宋简体"/>
          <w:bCs/>
          <w:color w:val="000000"/>
          <w:kern w:val="0"/>
          <w:sz w:val="32"/>
          <w:szCs w:val="32"/>
        </w:rPr>
        <w:t>〕</w:t>
      </w:r>
      <w:r>
        <w:rPr>
          <w:rFonts w:hint="default" w:ascii="Times New Roman" w:hAnsi="Times New Roman" w:eastAsia="方正仿宋简体" w:cs="Times New Roman"/>
          <w:bCs/>
          <w:color w:val="000000"/>
          <w:kern w:val="0"/>
          <w:sz w:val="32"/>
          <w:szCs w:val="32"/>
        </w:rPr>
        <w:t>5</w:t>
      </w:r>
      <w:r>
        <w:rPr>
          <w:rFonts w:hint="eastAsia" w:ascii="方正仿宋简体" w:hAnsi="方正仿宋简体" w:eastAsia="方正仿宋简体" w:cs="方正仿宋简体"/>
          <w:bCs/>
          <w:color w:val="000000"/>
          <w:kern w:val="0"/>
          <w:sz w:val="32"/>
          <w:szCs w:val="32"/>
        </w:rPr>
        <w:t>号）《关于我校研究生毕业及学位授予工作每年开展两次的通知》（成中医学位函〔</w:t>
      </w:r>
      <w:r>
        <w:rPr>
          <w:rFonts w:hint="default" w:ascii="Times New Roman" w:hAnsi="Times New Roman" w:eastAsia="方正仿宋简体" w:cs="Times New Roman"/>
          <w:bCs/>
          <w:color w:val="000000"/>
          <w:kern w:val="0"/>
          <w:sz w:val="32"/>
          <w:szCs w:val="32"/>
        </w:rPr>
        <w:t>2018</w:t>
      </w:r>
      <w:r>
        <w:rPr>
          <w:rFonts w:hint="eastAsia" w:ascii="方正仿宋简体" w:hAnsi="方正仿宋简体" w:eastAsia="方正仿宋简体" w:cs="方正仿宋简体"/>
          <w:bCs/>
          <w:color w:val="000000"/>
          <w:kern w:val="0"/>
          <w:sz w:val="32"/>
          <w:szCs w:val="32"/>
        </w:rPr>
        <w:t>〕</w:t>
      </w:r>
      <w:r>
        <w:rPr>
          <w:rFonts w:hint="default" w:ascii="Times New Roman" w:hAnsi="Times New Roman" w:eastAsia="方正仿宋简体" w:cs="Times New Roman"/>
          <w:bCs/>
          <w:color w:val="000000"/>
          <w:kern w:val="0"/>
          <w:sz w:val="32"/>
          <w:szCs w:val="32"/>
        </w:rPr>
        <w:t>3</w:t>
      </w:r>
      <w:r>
        <w:rPr>
          <w:rFonts w:hint="eastAsia" w:ascii="方正仿宋简体" w:hAnsi="方正仿宋简体" w:eastAsia="方正仿宋简体" w:cs="方正仿宋简体"/>
          <w:bCs/>
          <w:color w:val="000000"/>
          <w:kern w:val="0"/>
          <w:sz w:val="32"/>
          <w:szCs w:val="32"/>
        </w:rPr>
        <w:t>号）及《成都中医药大学研究生学位论文学术不端检测结果处理办法(试行）》（成中医研究生〔</w:t>
      </w:r>
      <w:r>
        <w:rPr>
          <w:rFonts w:hint="default" w:ascii="Times New Roman" w:hAnsi="Times New Roman" w:eastAsia="方正仿宋简体" w:cs="Times New Roman"/>
          <w:bCs/>
          <w:color w:val="000000"/>
          <w:kern w:val="0"/>
          <w:sz w:val="32"/>
          <w:szCs w:val="32"/>
        </w:rPr>
        <w:t>2019</w:t>
      </w:r>
      <w:r>
        <w:rPr>
          <w:rFonts w:hint="eastAsia" w:ascii="方正仿宋简体" w:hAnsi="方正仿宋简体" w:eastAsia="方正仿宋简体" w:cs="方正仿宋简体"/>
          <w:bCs/>
          <w:color w:val="000000"/>
          <w:kern w:val="0"/>
          <w:sz w:val="32"/>
          <w:szCs w:val="32"/>
        </w:rPr>
        <w:t>〕</w:t>
      </w:r>
      <w:r>
        <w:rPr>
          <w:rFonts w:hint="default" w:ascii="Times New Roman" w:hAnsi="Times New Roman" w:eastAsia="方正仿宋简体" w:cs="Times New Roman"/>
          <w:bCs/>
          <w:color w:val="000000"/>
          <w:kern w:val="0"/>
          <w:sz w:val="32"/>
          <w:szCs w:val="32"/>
        </w:rPr>
        <w:t>3</w:t>
      </w:r>
      <w:r>
        <w:rPr>
          <w:rFonts w:hint="eastAsia" w:ascii="方正仿宋简体" w:hAnsi="方正仿宋简体" w:eastAsia="方正仿宋简体" w:cs="方正仿宋简体"/>
          <w:bCs/>
          <w:color w:val="000000"/>
          <w:kern w:val="0"/>
          <w:sz w:val="32"/>
          <w:szCs w:val="32"/>
        </w:rPr>
        <w:t>号）文件要求，结合本院实际，特制定本实施细则。</w:t>
      </w:r>
    </w:p>
    <w:p>
      <w:pPr>
        <w:widowControl/>
        <w:spacing w:beforeLines="50" w:line="580" w:lineRule="exact"/>
        <w:ind w:firstLine="643" w:firstLineChars="200"/>
        <w:jc w:val="left"/>
        <w:rPr>
          <w:rFonts w:ascii="方正仿宋简体" w:hAnsi="方正仿宋简体" w:eastAsia="方正仿宋简体" w:cs="方正仿宋简体"/>
          <w:b/>
          <w:color w:val="000000"/>
          <w:kern w:val="0"/>
          <w:sz w:val="32"/>
          <w:szCs w:val="32"/>
        </w:rPr>
      </w:pPr>
      <w:r>
        <w:rPr>
          <w:rFonts w:hint="eastAsia" w:ascii="方正仿宋简体" w:hAnsi="方正仿宋简体" w:eastAsia="方正仿宋简体" w:cs="方正仿宋简体"/>
          <w:b/>
          <w:color w:val="000000"/>
          <w:kern w:val="0"/>
          <w:sz w:val="32"/>
          <w:szCs w:val="32"/>
        </w:rPr>
        <w:t>一、学位论文答辩安排</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硕士研究生向学院提出毕业及学位申请，学位论文答辩工作每年开展两次。</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上半年：5月</w:t>
      </w:r>
      <w:r>
        <w:rPr>
          <w:rFonts w:hint="eastAsia" w:ascii="方正仿宋简体" w:hAnsi="方正仿宋简体" w:eastAsia="方正仿宋简体" w:cs="方正仿宋简体"/>
          <w:bCs/>
          <w:color w:val="000000"/>
          <w:kern w:val="0"/>
          <w:sz w:val="32"/>
          <w:szCs w:val="32"/>
          <w:lang w:eastAsia="zh-CN"/>
        </w:rPr>
        <w:t>；</w:t>
      </w:r>
      <w:r>
        <w:rPr>
          <w:rFonts w:hint="eastAsia" w:ascii="方正仿宋简体" w:hAnsi="方正仿宋简体" w:eastAsia="方正仿宋简体" w:cs="方正仿宋简体"/>
          <w:bCs/>
          <w:color w:val="000000"/>
          <w:kern w:val="0"/>
          <w:sz w:val="32"/>
          <w:szCs w:val="32"/>
        </w:rPr>
        <w:t>下半年：11月。</w:t>
      </w:r>
    </w:p>
    <w:p>
      <w:pPr>
        <w:widowControl/>
        <w:spacing w:beforeLines="50" w:line="580" w:lineRule="exact"/>
        <w:ind w:firstLine="643" w:firstLineChars="200"/>
        <w:jc w:val="left"/>
        <w:rPr>
          <w:rFonts w:ascii="方正仿宋简体" w:hAnsi="方正仿宋简体" w:eastAsia="方正仿宋简体" w:cs="方正仿宋简体"/>
          <w:b/>
          <w:color w:val="000000"/>
          <w:kern w:val="0"/>
          <w:sz w:val="32"/>
          <w:szCs w:val="32"/>
        </w:rPr>
      </w:pPr>
      <w:r>
        <w:rPr>
          <w:rFonts w:hint="eastAsia" w:ascii="方正仿宋简体" w:hAnsi="方正仿宋简体" w:eastAsia="方正仿宋简体" w:cs="方正仿宋简体"/>
          <w:b/>
          <w:color w:val="000000"/>
          <w:kern w:val="0"/>
          <w:sz w:val="32"/>
          <w:szCs w:val="32"/>
        </w:rPr>
        <w:t>二、学位论文答辩流程</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硕士研究生学位论文须</w:t>
      </w:r>
      <w:r>
        <w:rPr>
          <w:rFonts w:hint="eastAsia" w:ascii="方正仿宋简体" w:hAnsi="方正仿宋简体" w:eastAsia="方正仿宋简体" w:cs="方正仿宋简体"/>
          <w:bCs/>
          <w:color w:val="000000"/>
          <w:kern w:val="0"/>
          <w:sz w:val="32"/>
          <w:szCs w:val="32"/>
          <w:lang w:eastAsia="zh-CN"/>
        </w:rPr>
        <w:t>依次</w:t>
      </w:r>
      <w:r>
        <w:rPr>
          <w:rFonts w:hint="eastAsia" w:ascii="方正仿宋简体" w:hAnsi="方正仿宋简体" w:eastAsia="方正仿宋简体" w:cs="方正仿宋简体"/>
          <w:bCs/>
          <w:color w:val="000000"/>
          <w:kern w:val="0"/>
          <w:sz w:val="32"/>
          <w:szCs w:val="32"/>
        </w:rPr>
        <w:t>通过论文检测、学院教授委员会评阅、预答辩、论文评阅（外单位）且合格后方可申请正式答辩。</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（一）学位论文检测</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1.检测程序</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拟申请学位的全体研究生，需按要求提交学位论文全文电子版至学院研究生科，首次检测论文命名“作者姓名-学号-论文题目”（连接符号为半角-），复检文件命名“2作者姓名-学号-论文题目”（连接符号为半角-），学院使用中国知网《学位论文学术不</w:t>
      </w:r>
      <w:r>
        <w:rPr>
          <w:rFonts w:hint="eastAsia" w:ascii="方正仿宋简体" w:hAnsi="方正仿宋简体" w:eastAsia="方正仿宋简体" w:cs="方正仿宋简体"/>
          <w:bCs/>
          <w:color w:val="000000"/>
          <w:kern w:val="0"/>
          <w:sz w:val="32"/>
          <w:szCs w:val="32"/>
          <w:lang w:eastAsia="zh-CN"/>
        </w:rPr>
        <w:t>端</w:t>
      </w:r>
      <w:r>
        <w:rPr>
          <w:rFonts w:hint="eastAsia" w:ascii="方正仿宋简体" w:hAnsi="方正仿宋简体" w:eastAsia="方正仿宋简体" w:cs="方正仿宋简体"/>
          <w:bCs/>
          <w:color w:val="000000"/>
          <w:kern w:val="0"/>
          <w:sz w:val="32"/>
          <w:szCs w:val="32"/>
        </w:rPr>
        <w:t>检测系统》进行检测。</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2.检测结果</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①合格：学位论文全文总复制比低于20%（含20%）视为合格，研究生院随机抽取复查。</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②修改：学位论文全文总复制比大于20%，须进行修改，并在10天内重新申请复检，复检合格后方可组织论文评阅和论文答辩。</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修改后的学位论文复检不合格者，取消本次学位申请资格，重新进行论文修改，并在3-6个月内重新申请检测，检测通过后方可组织学位论文评阅和论文答辩。</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③不合格：学位论文的主要研究内容、结果、结论及讨论等存在抄袭、剽窃等学术不端行为者，取消学位申请资格。</w:t>
      </w:r>
    </w:p>
    <w:p>
      <w:pPr>
        <w:widowControl/>
        <w:spacing w:beforeLines="50" w:line="580" w:lineRule="exact"/>
        <w:ind w:firstLine="640" w:firstLineChars="200"/>
        <w:jc w:val="left"/>
        <w:rPr>
          <w:rFonts w:hint="eastAsia"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（二）教授委员会评阅</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1.评阅程序</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毕业生按要求将学位论文提交至学院研究生科，由学院教授委员会专家进行双盲评议。</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2.评阅结果</w:t>
      </w:r>
    </w:p>
    <w:p>
      <w:pPr>
        <w:widowControl/>
        <w:spacing w:beforeLines="50" w:line="580" w:lineRule="exact"/>
        <w:ind w:firstLine="640" w:firstLineChars="200"/>
        <w:jc w:val="left"/>
        <w:rPr>
          <w:rFonts w:hint="eastAsia"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经教授委员会三分之二及以上人员同意视为通过，研究生根据专家意见进行论文修改，修改后的论文方可进入预答辩环节；未通过者，取消本次学位申请资格，修改后3-6月内重新申请。</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（三）学位论文预答辩</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1.预答辩委员会</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预答辩由学院统一组织，聘请5名副高及以上职称的专家组成硕士学位论文预答辩委员会。</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2.预答辩会一般程序</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①由学院分管副院长宣布预答辩委员会组成名单；</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②答辩委员会秘书介绍参加预答辩研究生的基本情况（培养环节完成情况、论文发表、学位论文检测、评阅情况）；</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③预答辩委员会主席宣布开始并主持预答辩会议；</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④研究生报告论文主要内容，时间≥20分钟；</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⑤预答辩委员会及与会者自由提问，研究生进行答辩，时间≥40分钟；</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 xml:space="preserve">⑥休会，预答辩委员会进行评议，以无记名投票方式进行表决，经全体三分之二及以上人员同意方可通过； </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⑦复会，预答辩委员会主席宣布预答辩决议，答辩会结束。</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3.预答辩结果</w:t>
      </w:r>
    </w:p>
    <w:p>
      <w:pPr>
        <w:widowControl/>
        <w:spacing w:beforeLines="50" w:line="580" w:lineRule="exact"/>
        <w:ind w:firstLine="640" w:firstLineChars="200"/>
        <w:jc w:val="left"/>
        <w:rPr>
          <w:rFonts w:hint="eastAsia"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经预答辩委员会三分之二及以上人员同意视为通过，研究生根据答辩会意见进行论文修改，修改后的论文方可进入外单位评阅环节；未通过者，取消本次学位申请资格，修改后3-6月内重新申请。</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（四）学位论文评阅（外单位）</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1.评阅程序</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毕业生按要求将学位论文提交至学院研究生科，由学院统一聘请2位外单位同行专家进行双盲通讯评议。</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2.评阅结果</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合格：通讯评议中，2位外单位同行专家均同意提交答辩视为合格</w:t>
      </w:r>
      <w:r>
        <w:rPr>
          <w:rFonts w:hint="eastAsia" w:ascii="方正仿宋简体" w:hAnsi="方正仿宋简体" w:eastAsia="方正仿宋简体" w:cs="方正仿宋简体"/>
          <w:bCs/>
          <w:color w:val="000000"/>
          <w:kern w:val="0"/>
          <w:sz w:val="32"/>
          <w:szCs w:val="32"/>
          <w:lang w:eastAsia="zh-CN"/>
        </w:rPr>
        <w:t>；</w:t>
      </w:r>
      <w:r>
        <w:rPr>
          <w:rFonts w:hint="eastAsia" w:ascii="方正仿宋简体" w:hAnsi="方正仿宋简体" w:eastAsia="方正仿宋简体" w:cs="方正仿宋简体"/>
          <w:bCs/>
          <w:color w:val="000000"/>
          <w:kern w:val="0"/>
          <w:sz w:val="32"/>
          <w:szCs w:val="32"/>
        </w:rPr>
        <w:t>若有1位专家不同意提交答辩，由学院再聘请2位外单位同行专家进行二次评议，2位专家均同意提交答辩则视为合格。</w:t>
      </w:r>
    </w:p>
    <w:p>
      <w:pPr>
        <w:widowControl/>
        <w:spacing w:beforeLines="50" w:line="580" w:lineRule="exact"/>
        <w:ind w:firstLine="640" w:firstLineChars="200"/>
        <w:jc w:val="left"/>
        <w:rPr>
          <w:rFonts w:hint="eastAsia"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不合格：首次评议若有2位专家均不同意或二次评议中有1人反对，均视为不合格。该生当年不得参加答辩，修改论文后于次年提交答辩申请。</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（五）学位论文答辩</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1.答辩委员会</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答辩由学院统一组织，由学院分委员会聘请5名副高及以上职称的专家组成硕士学位论文答辩委员会，其中外单位</w:t>
      </w:r>
      <w:r>
        <w:rPr>
          <w:rFonts w:hint="eastAsia" w:ascii="方正仿宋简体" w:hAnsi="方正仿宋简体" w:eastAsia="方正仿宋简体" w:cs="方正仿宋简体"/>
          <w:bCs/>
          <w:color w:val="000000"/>
          <w:kern w:val="0"/>
          <w:sz w:val="32"/>
          <w:szCs w:val="32"/>
          <w:lang w:val="en-US" w:eastAsia="zh-CN"/>
        </w:rPr>
        <w:t>专家及研究生导师各不少于3/5</w:t>
      </w:r>
      <w:r>
        <w:rPr>
          <w:rFonts w:hint="eastAsia" w:ascii="方正仿宋简体" w:hAnsi="方正仿宋简体" w:eastAsia="方正仿宋简体" w:cs="方正仿宋简体"/>
          <w:bCs/>
          <w:color w:val="000000"/>
          <w:kern w:val="0"/>
          <w:sz w:val="32"/>
          <w:szCs w:val="32"/>
        </w:rPr>
        <w:t>。</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2.答辩会一般程序</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①由学院分管副院长宣布答辩委员会组成名单；</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②答辩委员会秘书介绍参加答辩研究生的基本情况（培养环节完成情况、论文发表、学位论文检测、评阅、预答辩情况）</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③答辩委员会主席宣布开始并主持答辩会议；</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④研究生报告论文主要内容，时间≥20分钟；</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⑤论文答辩委员会及与会者自由提问，研究生进行答辩，时间≥40分钟；</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⑥休会，答辩委员会进行评议，以无记名投票方式进行表决，经全体三分之二及以上人员同意方可通过。同时讨论通过论文的答辩决议。论文答辩的决议一般不超过500字，决议应语言简明清楚，结论符合实际，并就是否授予答辩人相应学位作出明确意见，经答辩委员会主席签字后方为有效；</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⑦复会，答辩委员会主席宣布答辩决议，答辩会结束。</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3.答辩结果</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经答辩委员会三分之二及以上人员同意视为通过，根据答辩委员会专家意见，研究生进行论文修改，修改后的论文方能提交学位申请；未通过者，应予以修改于次年提出答辩申请。</w:t>
      </w:r>
    </w:p>
    <w:p>
      <w:pPr>
        <w:widowControl/>
        <w:spacing w:beforeLines="50" w:line="580" w:lineRule="exact"/>
        <w:ind w:firstLine="643" w:firstLineChars="200"/>
        <w:jc w:val="left"/>
        <w:rPr>
          <w:rFonts w:ascii="方正仿宋简体" w:hAnsi="方正仿宋简体" w:eastAsia="方正仿宋简体" w:cs="方正仿宋简体"/>
          <w:b/>
          <w:color w:val="000000"/>
          <w:kern w:val="0"/>
          <w:sz w:val="32"/>
          <w:szCs w:val="32"/>
        </w:rPr>
      </w:pPr>
      <w:r>
        <w:rPr>
          <w:rFonts w:hint="eastAsia" w:ascii="方正仿宋简体" w:hAnsi="方正仿宋简体" w:eastAsia="方正仿宋简体" w:cs="方正仿宋简体"/>
          <w:b/>
          <w:color w:val="000000"/>
          <w:kern w:val="0"/>
          <w:sz w:val="32"/>
          <w:szCs w:val="32"/>
        </w:rPr>
        <w:t>三、附则与说明</w:t>
      </w:r>
    </w:p>
    <w:p>
      <w:pPr>
        <w:widowControl/>
        <w:spacing w:beforeLines="50" w:line="580" w:lineRule="exact"/>
        <w:ind w:firstLine="640" w:firstLineChars="200"/>
        <w:jc w:val="left"/>
        <w:rPr>
          <w:rFonts w:ascii="方正仿宋简体" w:hAnsi="方正仿宋简体" w:eastAsia="方正仿宋简体" w:cs="方正仿宋简体"/>
          <w:bCs/>
          <w:color w:val="000000"/>
          <w:kern w:val="0"/>
          <w:sz w:val="32"/>
          <w:szCs w:val="32"/>
        </w:rPr>
      </w:pPr>
      <w:r>
        <w:rPr>
          <w:rFonts w:hint="eastAsia" w:ascii="方正仿宋简体" w:hAnsi="方正仿宋简体" w:eastAsia="方正仿宋简体" w:cs="方正仿宋简体"/>
          <w:bCs/>
          <w:color w:val="000000"/>
          <w:kern w:val="0"/>
          <w:sz w:val="32"/>
          <w:szCs w:val="32"/>
        </w:rPr>
        <w:t>本实施细则自发布之日起施行，由学院研究生科负责解释与实施。在执行过程中如与学校、省、国家相关文件不符，以上级文件为准。</w:t>
      </w:r>
    </w:p>
    <w:p>
      <w:pPr>
        <w:snapToGrid w:val="0"/>
        <w:spacing w:line="580" w:lineRule="exact"/>
        <w:ind w:firstLine="3840" w:firstLineChars="1200"/>
        <w:jc w:val="left"/>
        <w:rPr>
          <w:rFonts w:hint="eastAsia" w:ascii="方正仿宋简体" w:hAnsi="方正仿宋简体" w:eastAsia="方正仿宋简体" w:cs="方正仿宋简体"/>
          <w:bCs/>
          <w:sz w:val="32"/>
          <w:szCs w:val="32"/>
        </w:rPr>
      </w:pPr>
    </w:p>
    <w:p>
      <w:pPr>
        <w:snapToGrid w:val="0"/>
        <w:spacing w:line="580" w:lineRule="exact"/>
        <w:jc w:val="left"/>
        <w:rPr>
          <w:rFonts w:hint="eastAsia" w:ascii="方正仿宋简体" w:hAnsi="方正仿宋简体" w:eastAsia="方正仿宋简体" w:cs="方正仿宋简体"/>
          <w:bCs/>
          <w:sz w:val="32"/>
          <w:szCs w:val="32"/>
        </w:rPr>
      </w:pPr>
    </w:p>
    <w:p>
      <w:pPr>
        <w:spacing w:line="580" w:lineRule="exact"/>
        <w:rPr>
          <w:rFonts w:hint="eastAsia"/>
          <w:lang w:val="en-US" w:eastAsia="zh-CN"/>
        </w:rPr>
      </w:pPr>
    </w:p>
    <w:sectPr>
      <w:headerReference r:id="rId3" w:type="default"/>
      <w:footerReference r:id="rId4" w:type="default"/>
      <w:pgSz w:w="11906" w:h="16838"/>
      <w:pgMar w:top="1440" w:right="1800" w:bottom="1440" w:left="1800" w:header="851" w:footer="992" w:gutter="0"/>
      <w:pgNumType w:fmt="numberInDash" w:chapStyle="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pStyle w:val="3"/>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- 1 -</w:t>
                </w:r>
                <w:r>
                  <w:rPr>
                    <w:rFonts w:hint="eastAsia" w:asciiTheme="minorEastAsia" w:hAnsiTheme="minorEastAsia" w:cstheme="minor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B3CC7"/>
    <w:rsid w:val="00014C05"/>
    <w:rsid w:val="00024852"/>
    <w:rsid w:val="00102752"/>
    <w:rsid w:val="002E4537"/>
    <w:rsid w:val="007D0D75"/>
    <w:rsid w:val="009B3CC7"/>
    <w:rsid w:val="00E950BB"/>
    <w:rsid w:val="08CC328D"/>
    <w:rsid w:val="097D3F2B"/>
    <w:rsid w:val="0BB74033"/>
    <w:rsid w:val="0D9B3E21"/>
    <w:rsid w:val="10DC0523"/>
    <w:rsid w:val="18191EC1"/>
    <w:rsid w:val="2BEF1AEF"/>
    <w:rsid w:val="30EB67BD"/>
    <w:rsid w:val="344F077B"/>
    <w:rsid w:val="356109B7"/>
    <w:rsid w:val="40C27584"/>
    <w:rsid w:val="4723278E"/>
    <w:rsid w:val="477D50A5"/>
    <w:rsid w:val="51F50DB1"/>
    <w:rsid w:val="5B9A24FD"/>
    <w:rsid w:val="5EEB4A06"/>
    <w:rsid w:val="6B262311"/>
    <w:rsid w:val="6E64076E"/>
    <w:rsid w:val="74FA2691"/>
    <w:rsid w:val="755310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9"/>
    <w:semiHidden/>
    <w:unhideWhenUsed/>
    <w:qFormat/>
    <w:uiPriority w:val="99"/>
    <w:pPr>
      <w:ind w:left="100" w:leftChars="2500"/>
    </w:pPr>
  </w:style>
  <w:style w:type="paragraph" w:styleId="3">
    <w:name w:val="footer"/>
    <w:basedOn w:val="1"/>
    <w:link w:val="7"/>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basedOn w:val="6"/>
    <w:link w:val="3"/>
    <w:qFormat/>
    <w:uiPriority w:val="0"/>
    <w:rPr>
      <w:sz w:val="18"/>
      <w:szCs w:val="18"/>
    </w:rPr>
  </w:style>
  <w:style w:type="character" w:customStyle="1" w:styleId="8">
    <w:name w:val="页眉 Char"/>
    <w:basedOn w:val="6"/>
    <w:link w:val="4"/>
    <w:qFormat/>
    <w:uiPriority w:val="0"/>
    <w:rPr>
      <w:sz w:val="18"/>
      <w:szCs w:val="18"/>
    </w:rPr>
  </w:style>
  <w:style w:type="character" w:customStyle="1" w:styleId="9">
    <w:name w:val="日期 Char"/>
    <w:basedOn w:val="6"/>
    <w:link w:val="2"/>
    <w:semiHidden/>
    <w:qFormat/>
    <w:uiPriority w:val="99"/>
    <w:rPr>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327</Words>
  <Characters>1870</Characters>
  <Lines>15</Lines>
  <Paragraphs>4</Paragraphs>
  <TotalTime>248</TotalTime>
  <ScaleCrop>false</ScaleCrop>
  <LinksUpToDate>false</LinksUpToDate>
  <CharactersWithSpaces>2193</CharactersWithSpaces>
  <Application>WPS Office_11.1.0.9996_F1E327BC-269C-435d-A152-05C5408002CA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2019-11-06T04:00:00Z</dcterms:created>
  <dc:creator>Lenovo</dc:creator>
  <cp:lastModifiedBy>M.ran</cp:lastModifiedBy>
  <cp:lastPrinted>2020-01-09T05:35:00Z</cp:lastPrinted>
  <dcterms:modified xsi:type="dcterms:W3CDTF">2020-12-10T03:12:17Z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2052-11.1.0.9996</vt:lpwstr>
  </property>
</Properties>
</file>